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b/>
          <w:bCs/>
          <w:sz w:val="30"/>
          <w:szCs w:val="30"/>
        </w:rPr>
      </w:pPr>
      <w:r>
        <w:rPr>
          <w:rFonts w:hint="eastAsia" w:ascii="仿宋" w:hAnsi="仿宋" w:eastAsia="仿宋"/>
          <w:b/>
          <w:bCs/>
          <w:sz w:val="30"/>
          <w:szCs w:val="30"/>
        </w:rPr>
        <w:t>南通大学外国语学院高水平成果奖励条例</w:t>
      </w:r>
    </w:p>
    <w:p>
      <w:pPr>
        <w:spacing w:line="276" w:lineRule="auto"/>
        <w:ind w:firstLine="480" w:firstLineChars="200"/>
        <w:rPr>
          <w:rFonts w:ascii="仿宋" w:hAnsi="仿宋" w:eastAsia="仿宋"/>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为进一步落实学校第三次党代会要求，激励我院教职工在教学和科研工作方面多出高水平成果，提升学院教学和科研水平，特制定本奖励条例。</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一、高水平项目与论文奖励</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在每一个自然年度考核期内，以南通大学为第一单位且为负责人身份获得的国家社科基金项目、全国教育科学规划项目，其中一般项目（含青年项目）奖励5000元/项；重点项目10000元/项，重大项目20000元/项。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在每一个自然年度考核期内，以南通大学为第一署名单位且以第一作者或独立作者身份在《外语教学与研究》《外国文学评论》《中国翻译》、</w:t>
      </w:r>
      <w:r>
        <w:rPr>
          <w:rFonts w:ascii="仿宋" w:hAnsi="仿宋" w:eastAsia="仿宋"/>
          <w:sz w:val="28"/>
          <w:szCs w:val="28"/>
        </w:rPr>
        <w:t>A&amp;HCI</w:t>
      </w:r>
      <w:r>
        <w:rPr>
          <w:rFonts w:hint="eastAsia" w:ascii="仿宋" w:hAnsi="仿宋" w:eastAsia="仿宋"/>
          <w:sz w:val="28"/>
          <w:szCs w:val="28"/>
        </w:rPr>
        <w:t>期刊或SSCI二区以上期刊发表学术论文（书评除外），奖励5</w:t>
      </w:r>
      <w:r>
        <w:rPr>
          <w:rFonts w:ascii="仿宋" w:hAnsi="仿宋" w:eastAsia="仿宋"/>
          <w:sz w:val="28"/>
          <w:szCs w:val="28"/>
        </w:rPr>
        <w:t>000</w:t>
      </w:r>
      <w:r>
        <w:rPr>
          <w:rFonts w:hint="eastAsia" w:ascii="仿宋" w:hAnsi="仿宋" w:eastAsia="仿宋"/>
          <w:sz w:val="28"/>
          <w:szCs w:val="28"/>
        </w:rPr>
        <w:t>元/篇。</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二、高水平论著奖励</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在一个自然年度考核期内，以南通大学为第一署名单位且以第一作者或独立作者身份在人民出版社、</w:t>
      </w:r>
      <w:r>
        <w:rPr>
          <w:rFonts w:ascii="仿宋" w:hAnsi="仿宋" w:eastAsia="仿宋"/>
          <w:sz w:val="28"/>
          <w:szCs w:val="28"/>
        </w:rPr>
        <w:t>中华书局</w:t>
      </w:r>
      <w:r>
        <w:rPr>
          <w:rFonts w:hint="eastAsia" w:ascii="仿宋" w:hAnsi="仿宋" w:eastAsia="仿宋"/>
          <w:sz w:val="28"/>
          <w:szCs w:val="28"/>
        </w:rPr>
        <w:t>、商务印书馆、学习出版社、</w:t>
      </w:r>
      <w:r>
        <w:rPr>
          <w:rFonts w:ascii="仿宋" w:hAnsi="仿宋" w:eastAsia="仿宋"/>
          <w:sz w:val="28"/>
          <w:szCs w:val="28"/>
        </w:rPr>
        <w:t>中国社会科学出版社</w:t>
      </w:r>
      <w:r>
        <w:rPr>
          <w:rFonts w:hint="eastAsia" w:ascii="仿宋" w:hAnsi="仿宋" w:eastAsia="仿宋"/>
          <w:sz w:val="28"/>
          <w:szCs w:val="28"/>
        </w:rPr>
        <w:t>、</w:t>
      </w:r>
      <w:r>
        <w:rPr>
          <w:rFonts w:ascii="Times New Roman" w:hAnsi="Times New Roman" w:eastAsia="仿宋" w:cs="Times New Roman"/>
          <w:sz w:val="28"/>
          <w:szCs w:val="28"/>
        </w:rPr>
        <w:t>Routledge、Springer、Oxford University Press、Cambridge UniversityPress</w:t>
      </w:r>
      <w:r>
        <w:rPr>
          <w:rFonts w:hint="eastAsia" w:ascii="Times New Roman" w:hAnsi="Times New Roman" w:eastAsia="仿宋" w:cs="Times New Roman"/>
          <w:sz w:val="28"/>
          <w:szCs w:val="28"/>
        </w:rPr>
        <w:t>、</w:t>
      </w:r>
      <w:r>
        <w:rPr>
          <w:rFonts w:ascii="Times New Roman" w:hAnsi="Times New Roman" w:eastAsia="仿宋" w:cs="Times New Roman"/>
          <w:sz w:val="28"/>
          <w:szCs w:val="28"/>
        </w:rPr>
        <w:t>Harvard University Press</w:t>
      </w:r>
      <w:r>
        <w:rPr>
          <w:rFonts w:hint="eastAsia" w:ascii="Times New Roman" w:hAnsi="Times New Roman" w:eastAsia="仿宋" w:cs="Times New Roman"/>
          <w:sz w:val="28"/>
          <w:szCs w:val="28"/>
        </w:rPr>
        <w:t>、The</w:t>
      </w:r>
      <w:r>
        <w:rPr>
          <w:rFonts w:ascii="Times New Roman" w:hAnsi="Times New Roman" w:eastAsia="仿宋" w:cs="Times New Roman"/>
          <w:sz w:val="28"/>
          <w:szCs w:val="28"/>
        </w:rPr>
        <w:t>Johns Hopkins University Press</w:t>
      </w:r>
      <w:r>
        <w:rPr>
          <w:rFonts w:hint="eastAsia" w:ascii="仿宋" w:hAnsi="仿宋" w:eastAsia="仿宋"/>
          <w:sz w:val="28"/>
          <w:szCs w:val="28"/>
        </w:rPr>
        <w:t>出版社出版2</w:t>
      </w:r>
      <w:r>
        <w:rPr>
          <w:rFonts w:ascii="仿宋" w:hAnsi="仿宋" w:eastAsia="仿宋"/>
          <w:sz w:val="28"/>
          <w:szCs w:val="28"/>
        </w:rPr>
        <w:t>0</w:t>
      </w:r>
      <w:r>
        <w:rPr>
          <w:rFonts w:hint="eastAsia" w:ascii="仿宋" w:hAnsi="仿宋" w:eastAsia="仿宋"/>
          <w:sz w:val="28"/>
          <w:szCs w:val="28"/>
        </w:rPr>
        <w:t>万字以上学术专著，奖励1</w:t>
      </w:r>
      <w:r>
        <w:rPr>
          <w:rFonts w:ascii="仿宋" w:hAnsi="仿宋" w:eastAsia="仿宋"/>
          <w:sz w:val="28"/>
          <w:szCs w:val="28"/>
        </w:rPr>
        <w:t>0000</w:t>
      </w:r>
      <w:r>
        <w:rPr>
          <w:rFonts w:hint="eastAsia" w:ascii="仿宋" w:hAnsi="仿宋" w:eastAsia="仿宋"/>
          <w:sz w:val="28"/>
          <w:szCs w:val="28"/>
        </w:rPr>
        <w:t>元/部。</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三、高水平教学成果奖励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在一个自然年度考核期内，以南通大学为第一署名单位且以第一负责人获得省部级及以上在线课程平台上线，省部级及以上重点/精品教材、金课等，奖励1</w:t>
      </w:r>
      <w:r>
        <w:rPr>
          <w:rFonts w:ascii="仿宋" w:hAnsi="仿宋" w:eastAsia="仿宋"/>
          <w:sz w:val="28"/>
          <w:szCs w:val="28"/>
        </w:rPr>
        <w:t>0000</w:t>
      </w:r>
      <w:r>
        <w:rPr>
          <w:rFonts w:hint="eastAsia" w:ascii="仿宋" w:hAnsi="仿宋" w:eastAsia="仿宋"/>
          <w:sz w:val="28"/>
          <w:szCs w:val="28"/>
        </w:rPr>
        <w:t>元/项。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四、高水平成果获奖奖励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在一个自然年度考核期内，以南通大学为第一署名单位且以排名第一身份获得省部级以上教学成果奖二等奖以上，奖励1</w:t>
      </w:r>
      <w:r>
        <w:rPr>
          <w:rFonts w:ascii="仿宋" w:hAnsi="仿宋" w:eastAsia="仿宋"/>
          <w:sz w:val="28"/>
          <w:szCs w:val="28"/>
        </w:rPr>
        <w:t>0000</w:t>
      </w:r>
      <w:r>
        <w:rPr>
          <w:rFonts w:hint="eastAsia" w:ascii="仿宋" w:hAnsi="仿宋" w:eastAsia="仿宋"/>
          <w:sz w:val="28"/>
          <w:szCs w:val="28"/>
        </w:rPr>
        <w:t>元/项。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以南通大学为第一署名单位且以排名第一身份获得教育部科学研究优秀成果奖（人文社科类）二等奖以上、江苏省哲学社会科学优秀成果奖二等奖以上、中宣部“五个一工程”成果奖，奖励1</w:t>
      </w:r>
      <w:r>
        <w:rPr>
          <w:rFonts w:ascii="仿宋" w:hAnsi="仿宋" w:eastAsia="仿宋"/>
          <w:sz w:val="28"/>
          <w:szCs w:val="28"/>
        </w:rPr>
        <w:t>0000</w:t>
      </w:r>
      <w:r>
        <w:rPr>
          <w:rFonts w:hint="eastAsia" w:ascii="仿宋" w:hAnsi="仿宋" w:eastAsia="仿宋"/>
          <w:sz w:val="28"/>
          <w:szCs w:val="28"/>
        </w:rPr>
        <w:t>元/项。同一成果获多项奖，只计一项。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以南通大学为第一署名单位以排名第一身份指导我院学生获得全国大学生“创青春”、“挑战杯”、“‘互联网+’大赛”、“外研社·国才杯英语演讲大赛”全国总决赛一等奖以上，奖励1</w:t>
      </w:r>
      <w:r>
        <w:rPr>
          <w:rFonts w:ascii="仿宋" w:hAnsi="仿宋" w:eastAsia="仿宋"/>
          <w:sz w:val="28"/>
          <w:szCs w:val="28"/>
        </w:rPr>
        <w:t>0000</w:t>
      </w:r>
      <w:r>
        <w:rPr>
          <w:rFonts w:hint="eastAsia" w:ascii="仿宋" w:hAnsi="仿宋" w:eastAsia="仿宋"/>
          <w:sz w:val="28"/>
          <w:szCs w:val="28"/>
        </w:rPr>
        <w:t>元/项。</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ascii="仿宋" w:hAnsi="仿宋" w:eastAsia="仿宋"/>
          <w:b/>
          <w:bCs/>
          <w:sz w:val="28"/>
          <w:szCs w:val="28"/>
        </w:rPr>
      </w:pPr>
      <w:r>
        <w:rPr>
          <w:rFonts w:hint="eastAsia" w:ascii="仿宋" w:hAnsi="仿宋" w:eastAsia="仿宋"/>
          <w:b/>
          <w:bCs/>
          <w:sz w:val="28"/>
          <w:szCs w:val="28"/>
        </w:rPr>
        <w:t>五、人才工程及称号奖励</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在一个自然年度考核期内，获得国家“万人计划”、“千人计划”、“江苏省‘3</w:t>
      </w:r>
      <w:r>
        <w:rPr>
          <w:rFonts w:ascii="仿宋" w:hAnsi="仿宋" w:eastAsia="仿宋"/>
          <w:sz w:val="28"/>
          <w:szCs w:val="28"/>
        </w:rPr>
        <w:t>33</w:t>
      </w:r>
      <w:r>
        <w:rPr>
          <w:rFonts w:hint="eastAsia" w:ascii="仿宋" w:hAnsi="仿宋" w:eastAsia="仿宋"/>
          <w:sz w:val="28"/>
          <w:szCs w:val="28"/>
        </w:rPr>
        <w:t>’人才工程”第二层次培养对象及以上、省部级及以上“教学名师”人才称号，每获得一个人才称号，奖励1</w:t>
      </w:r>
      <w:r>
        <w:rPr>
          <w:rFonts w:ascii="仿宋" w:hAnsi="仿宋" w:eastAsia="仿宋"/>
          <w:sz w:val="28"/>
          <w:szCs w:val="28"/>
        </w:rPr>
        <w:t>0000</w:t>
      </w:r>
      <w:r>
        <w:rPr>
          <w:rFonts w:hint="eastAsia" w:ascii="仿宋" w:hAnsi="仿宋" w:eastAsia="仿宋"/>
          <w:sz w:val="28"/>
          <w:szCs w:val="28"/>
        </w:rPr>
        <w:t>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在一个自然年度考核期内，我院教职员工获得“江苏省高校‘青蓝工程’中青年学术带头人”、“江苏社科英才”人才称号，每获得一个人才称号，奖励</w:t>
      </w:r>
      <w:r>
        <w:rPr>
          <w:rFonts w:ascii="仿宋" w:hAnsi="仿宋" w:eastAsia="仿宋"/>
          <w:sz w:val="28"/>
          <w:szCs w:val="28"/>
        </w:rPr>
        <w:t>5000</w:t>
      </w:r>
      <w:r>
        <w:rPr>
          <w:rFonts w:hint="eastAsia" w:ascii="仿宋" w:hAnsi="仿宋" w:eastAsia="仿宋"/>
          <w:sz w:val="28"/>
          <w:szCs w:val="28"/>
        </w:rPr>
        <w:t>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r>
        <w:rPr>
          <w:rFonts w:hint="eastAsia" w:ascii="仿宋" w:hAnsi="仿宋" w:eastAsia="仿宋"/>
          <w:sz w:val="28"/>
          <w:szCs w:val="28"/>
        </w:rPr>
        <w:t>本奖励条例自公布之日起执行。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ascii="仿宋" w:hAnsi="仿宋" w:eastAsia="仿宋"/>
          <w:sz w:val="28"/>
          <w:szCs w:val="28"/>
        </w:rPr>
      </w:pPr>
      <w:r>
        <w:rPr>
          <w:rFonts w:hint="eastAsia" w:ascii="仿宋" w:hAnsi="仿宋" w:eastAsia="仿宋"/>
          <w:sz w:val="28"/>
          <w:szCs w:val="28"/>
        </w:rPr>
        <w:t>南通大学外国语学院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right"/>
        <w:textAlignment w:val="auto"/>
        <w:rPr>
          <w:rFonts w:ascii="仿宋" w:hAnsi="仿宋" w:eastAsia="仿宋"/>
          <w:sz w:val="28"/>
          <w:szCs w:val="28"/>
        </w:rPr>
      </w:pPr>
      <w:r>
        <w:rPr>
          <w:rFonts w:ascii="仿宋" w:hAnsi="仿宋" w:eastAsia="仿宋"/>
          <w:sz w:val="28"/>
          <w:szCs w:val="28"/>
        </w:rPr>
        <w:t>20</w:t>
      </w:r>
      <w:r>
        <w:rPr>
          <w:rFonts w:hint="eastAsia" w:ascii="仿宋" w:hAnsi="仿宋" w:eastAsia="仿宋"/>
          <w:sz w:val="28"/>
          <w:szCs w:val="28"/>
        </w:rPr>
        <w:t>20年</w:t>
      </w:r>
      <w:r>
        <w:rPr>
          <w:rFonts w:hint="eastAsia" w:ascii="仿宋" w:hAnsi="仿宋" w:eastAsia="仿宋"/>
          <w:sz w:val="28"/>
          <w:szCs w:val="28"/>
          <w:lang w:val="en-US" w:eastAsia="zh-CN"/>
        </w:rPr>
        <w:t>9</w:t>
      </w:r>
      <w:r>
        <w:rPr>
          <w:rFonts w:hint="eastAsia" w:ascii="仿宋" w:hAnsi="仿宋" w:eastAsia="仿宋"/>
          <w:sz w:val="28"/>
          <w:szCs w:val="28"/>
        </w:rPr>
        <w:t>月</w:t>
      </w:r>
      <w:r>
        <w:rPr>
          <w:rFonts w:hint="eastAsia" w:ascii="仿宋" w:hAnsi="仿宋" w:eastAsia="仿宋"/>
          <w:sz w:val="28"/>
          <w:szCs w:val="28"/>
          <w:lang w:val="en-US" w:eastAsia="zh-CN"/>
        </w:rPr>
        <w:t>30</w:t>
      </w:r>
      <w:r>
        <w:rPr>
          <w:rFonts w:hint="eastAsia" w:ascii="仿宋" w:hAnsi="仿宋" w:eastAsia="仿宋"/>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974147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A60"/>
    <w:rsid w:val="000A4700"/>
    <w:rsid w:val="000D54FE"/>
    <w:rsid w:val="00101E3C"/>
    <w:rsid w:val="001B2457"/>
    <w:rsid w:val="001E2F98"/>
    <w:rsid w:val="00207032"/>
    <w:rsid w:val="002430FD"/>
    <w:rsid w:val="002451D4"/>
    <w:rsid w:val="002530AE"/>
    <w:rsid w:val="00344805"/>
    <w:rsid w:val="00381830"/>
    <w:rsid w:val="003B187E"/>
    <w:rsid w:val="00407F15"/>
    <w:rsid w:val="00437A69"/>
    <w:rsid w:val="00467412"/>
    <w:rsid w:val="0054323C"/>
    <w:rsid w:val="00550343"/>
    <w:rsid w:val="00561237"/>
    <w:rsid w:val="00565CF4"/>
    <w:rsid w:val="005C11D6"/>
    <w:rsid w:val="006B70A6"/>
    <w:rsid w:val="007060C6"/>
    <w:rsid w:val="007739F2"/>
    <w:rsid w:val="007B362F"/>
    <w:rsid w:val="007F2BAE"/>
    <w:rsid w:val="009266D0"/>
    <w:rsid w:val="00941D1C"/>
    <w:rsid w:val="009559F3"/>
    <w:rsid w:val="009A1CD7"/>
    <w:rsid w:val="00A14E07"/>
    <w:rsid w:val="00A47B3B"/>
    <w:rsid w:val="00A56E13"/>
    <w:rsid w:val="00AC5C93"/>
    <w:rsid w:val="00AC6DA3"/>
    <w:rsid w:val="00AD75E3"/>
    <w:rsid w:val="00B67A3C"/>
    <w:rsid w:val="00C7288A"/>
    <w:rsid w:val="00C86A3A"/>
    <w:rsid w:val="00CA367B"/>
    <w:rsid w:val="00D522CD"/>
    <w:rsid w:val="00D90A60"/>
    <w:rsid w:val="00DC3F8D"/>
    <w:rsid w:val="00E03DAF"/>
    <w:rsid w:val="00E06909"/>
    <w:rsid w:val="00E42177"/>
    <w:rsid w:val="00E63447"/>
    <w:rsid w:val="00E67C46"/>
    <w:rsid w:val="00E70DAF"/>
    <w:rsid w:val="00E7160A"/>
    <w:rsid w:val="00EA4C65"/>
    <w:rsid w:val="00EA4D63"/>
    <w:rsid w:val="00EA7FD2"/>
    <w:rsid w:val="00EF7051"/>
    <w:rsid w:val="00F10B8A"/>
    <w:rsid w:val="4812105B"/>
    <w:rsid w:val="7D61076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170</Words>
  <Characters>975</Characters>
  <Lines>8</Lines>
  <Paragraphs>2</Paragraphs>
  <TotalTime>7</TotalTime>
  <ScaleCrop>false</ScaleCrop>
  <LinksUpToDate>false</LinksUpToDate>
  <CharactersWithSpaces>1143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2020-05-28T08:55:00Z</dcterms:created>
  <dc:creator>佘 军</dc:creator>
  <cp:lastModifiedBy>Administrator</cp:lastModifiedBy>
  <dcterms:modified xsi:type="dcterms:W3CDTF">2020-12-30T08:27:27Z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